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rPr>
        <w:drawing>
          <wp:inline distB="0" distT="0" distL="0" distR="0">
            <wp:extent cx="4248150" cy="1933575"/>
            <wp:effectExtent b="0" l="0" r="0" t="0"/>
            <wp:docPr descr="https://lh4.googleusercontent.com/B67-G_OcHDWGZF5UQW29_CvFetQg_AEB6rjEnKp8sQXao4fX7iZzMFeHeiRpziiXz-vpf72hwHSmZzggkGbxrASeqjxLXXhk_tNFYxigMjDOBC2LhrkTWnoZ_vdMUKd87Sn8O_g" id="1" name="image2.png"/>
            <a:graphic>
              <a:graphicData uri="http://schemas.openxmlformats.org/drawingml/2006/picture">
                <pic:pic>
                  <pic:nvPicPr>
                    <pic:cNvPr descr="https://lh4.googleusercontent.com/B67-G_OcHDWGZF5UQW29_CvFetQg_AEB6rjEnKp8sQXao4fX7iZzMFeHeiRpziiXz-vpf72hwHSmZzggkGbxrASeqjxLXXhk_tNFYxigMjDOBC2LhrkTWnoZ_vdMUKd87Sn8O_g" id="0" name="image2.png"/>
                    <pic:cNvPicPr preferRelativeResize="0"/>
                  </pic:nvPicPr>
                  <pic:blipFill>
                    <a:blip r:embed="rId8"/>
                    <a:srcRect b="0" l="0" r="0" t="0"/>
                    <a:stretch>
                      <a:fillRect/>
                    </a:stretch>
                  </pic:blipFill>
                  <pic:spPr>
                    <a:xfrm>
                      <a:off x="0" y="0"/>
                      <a:ext cx="424815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1"/>
        <w:spacing w:after="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Orde van de dienst </w:t>
      </w:r>
      <w:r w:rsidDel="00000000" w:rsidR="00000000" w:rsidRPr="00000000">
        <w:rPr>
          <w:rtl w:val="0"/>
        </w:rPr>
      </w:r>
    </w:p>
    <w:tbl>
      <w:tblPr>
        <w:tblStyle w:val="Table1"/>
        <w:tblW w:w="9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5103"/>
        <w:tblGridChange w:id="0">
          <w:tblGrid>
            <w:gridCol w:w="4820"/>
            <w:gridCol w:w="5103"/>
          </w:tblGrid>
        </w:tblGridChange>
      </w:tblGrid>
      <w:tr>
        <w:trPr>
          <w:cantSplit w:val="0"/>
          <w:tblHeader w:val="0"/>
        </w:trPr>
        <w:tc>
          <w:tcPr/>
          <w:p w:rsidR="00000000" w:rsidDel="00000000" w:rsidP="00000000" w:rsidRDefault="00000000" w:rsidRPr="00000000" w14:paraId="00000004">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Voorbereiding</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Welkom en mededelingen door de ouderling van dienst</w:t>
            </w:r>
            <w:r w:rsidDel="00000000" w:rsidR="00000000" w:rsidRPr="00000000">
              <w:rPr>
                <w:rtl w:val="0"/>
              </w:rPr>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Kort orgelspel</w:t>
            </w:r>
            <w:r w:rsidDel="00000000" w:rsidR="00000000" w:rsidRPr="00000000">
              <w:rPr>
                <w:rtl w:val="0"/>
              </w:rPr>
            </w:r>
          </w:p>
        </w:tc>
        <w:tc>
          <w:tcPr/>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Moment van stilte/stil gebed</w:t>
            </w:r>
            <w:r w:rsidDel="00000000" w:rsidR="00000000" w:rsidRPr="00000000">
              <w:rPr>
                <w:rtl w:val="0"/>
              </w:rPr>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Intochtslied NLB 473: 1,3 </w:t>
            </w:r>
            <w:r w:rsidDel="00000000" w:rsidR="00000000" w:rsidRPr="00000000">
              <w:rPr>
                <w:rFonts w:ascii="Arial" w:cs="Arial" w:eastAsia="Arial" w:hAnsi="Arial"/>
                <w:i w:val="1"/>
                <w:sz w:val="20"/>
                <w:szCs w:val="20"/>
                <w:rtl w:val="0"/>
              </w:rPr>
              <w:t xml:space="preserve">(staande) </w:t>
            </w:r>
            <w:r w:rsidDel="00000000" w:rsidR="00000000" w:rsidRPr="00000000">
              <w:rPr>
                <w:rtl w:val="0"/>
              </w:rPr>
            </w:r>
          </w:p>
        </w:tc>
        <w:tc>
          <w:tcPr/>
          <w:p w:rsidR="00000000" w:rsidDel="00000000" w:rsidP="00000000" w:rsidRDefault="00000000" w:rsidRPr="00000000" w14:paraId="0000000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Graag een lied dat is mee te zingen voor kinderen</w:t>
            </w:r>
          </w:p>
        </w:tc>
      </w:tr>
      <w:tr>
        <w:trPr>
          <w:cantSplit w:val="0"/>
          <w:tblHeader w:val="0"/>
        </w:trPr>
        <w:tc>
          <w:tcPr/>
          <w:p w:rsidR="00000000" w:rsidDel="00000000" w:rsidP="00000000" w:rsidRDefault="00000000" w:rsidRPr="00000000" w14:paraId="0000000F">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Votum en groet </w:t>
            </w:r>
            <w:r w:rsidDel="00000000" w:rsidR="00000000" w:rsidRPr="00000000">
              <w:rPr>
                <w:rFonts w:ascii="Arial" w:cs="Arial" w:eastAsia="Arial" w:hAnsi="Arial"/>
                <w:i w:val="1"/>
                <w:sz w:val="20"/>
                <w:szCs w:val="20"/>
                <w:rtl w:val="0"/>
              </w:rPr>
              <w:t xml:space="preserve">(hierna gaat gemeente zitten) </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Aansteken van de kaarsen, NLB 444:1</w:t>
            </w:r>
            <w:r w:rsidDel="00000000" w:rsidR="00000000" w:rsidRPr="00000000">
              <w:rPr>
                <w:rtl w:val="0"/>
              </w:rPr>
            </w:r>
          </w:p>
        </w:tc>
        <w:tc>
          <w:tcPr/>
          <w:p w:rsidR="00000000" w:rsidDel="00000000" w:rsidP="00000000" w:rsidRDefault="00000000" w:rsidRPr="00000000" w14:paraId="0000001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 ouderling zal voor de dienst een kind vragen. Tijdens het aansteken wordt een lied gezongen </w:t>
            </w:r>
          </w:p>
          <w:p w:rsidR="00000000" w:rsidDel="00000000" w:rsidP="00000000" w:rsidRDefault="00000000" w:rsidRPr="00000000" w14:paraId="00000013">
            <w:pPr>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Contactmoment</w:t>
            </w:r>
            <w:r w:rsidDel="00000000" w:rsidR="00000000" w:rsidRPr="00000000">
              <w:rPr>
                <w:rtl w:val="0"/>
              </w:rPr>
            </w:r>
          </w:p>
        </w:tc>
        <w:tc>
          <w:tcPr/>
          <w:p w:rsidR="00000000" w:rsidDel="00000000" w:rsidP="00000000" w:rsidRDefault="00000000" w:rsidRPr="00000000" w14:paraId="0000001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Door voorganger </w:t>
            </w:r>
          </w:p>
        </w:tc>
      </w:tr>
      <w:tr>
        <w:trPr>
          <w:cantSplit w:val="0"/>
          <w:tblHeader w:val="0"/>
        </w:trPr>
        <w:tc>
          <w:tcPr/>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Hierna gaan de kinderen en tieners naar beneden. Tieners blijven misschien boven zitten (hebben een afwisselend programma).</w:t>
            </w:r>
          </w:p>
        </w:tc>
      </w:tr>
      <w:tr>
        <w:trPr>
          <w:cantSplit w:val="0"/>
          <w:tblHeader w:val="0"/>
        </w:trPr>
        <w:tc>
          <w:tcPr/>
          <w:p w:rsidR="00000000" w:rsidDel="00000000" w:rsidP="00000000" w:rsidRDefault="00000000" w:rsidRPr="00000000" w14:paraId="00000018">
            <w:pPr>
              <w:rPr>
                <w:rFonts w:ascii="Arial" w:cs="Arial" w:eastAsia="Arial" w:hAnsi="Arial"/>
                <w:sz w:val="20"/>
                <w:szCs w:val="20"/>
                <w:u w:val="single"/>
              </w:rPr>
            </w:pPr>
            <w:r w:rsidDel="00000000" w:rsidR="00000000" w:rsidRPr="00000000">
              <w:rPr>
                <w:rtl w:val="0"/>
              </w:rPr>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Arial" w:cs="Arial" w:eastAsia="Arial" w:hAnsi="Arial"/>
                <w:sz w:val="20"/>
                <w:szCs w:val="20"/>
                <w:u w:val="single"/>
              </w:rPr>
            </w:pPr>
            <w:bookmarkStart w:colFirst="0" w:colLast="0" w:name="_gjdgxs" w:id="0"/>
            <w:bookmarkEnd w:id="0"/>
            <w:r w:rsidDel="00000000" w:rsidR="00000000" w:rsidRPr="00000000">
              <w:rPr>
                <w:rFonts w:ascii="Arial" w:cs="Arial" w:eastAsia="Arial" w:hAnsi="Arial"/>
                <w:sz w:val="20"/>
                <w:szCs w:val="20"/>
                <w:u w:val="single"/>
                <w:rtl w:val="0"/>
              </w:rPr>
              <w:t xml:space="preserve">Verootmoediging en genadeverkondiging</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Gebed</w:t>
            </w:r>
            <w:r w:rsidDel="00000000" w:rsidR="00000000" w:rsidRPr="00000000">
              <w:rPr>
                <w:rtl w:val="0"/>
              </w:rPr>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Lezing van Schriftgedeelte met aanwijzingen voor het leven: Dan 6:11</w:t>
            </w:r>
            <w:r w:rsidDel="00000000" w:rsidR="00000000" w:rsidRPr="00000000">
              <w:rPr>
                <w:rtl w:val="0"/>
              </w:rPr>
            </w:r>
          </w:p>
        </w:tc>
        <w:tc>
          <w:tcPr/>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Lied van bereidheid om de weg met God te gaan: NLB 42: 3,4 </w:t>
            </w:r>
            <w:r w:rsidDel="00000000" w:rsidR="00000000" w:rsidRPr="00000000">
              <w:rPr>
                <w:rtl w:val="0"/>
              </w:rPr>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Arial" w:cs="Arial" w:eastAsia="Arial" w:hAnsi="Arial"/>
                <w:sz w:val="20"/>
                <w:szCs w:val="20"/>
                <w:u w:val="single"/>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Rondom de Schriften</w:t>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Gebed bij de opening van de Bijbel</w:t>
            </w:r>
            <w:r w:rsidDel="00000000" w:rsidR="00000000" w:rsidRPr="00000000">
              <w:rPr>
                <w:rtl w:val="0"/>
              </w:rPr>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Schriftlezing: Daniel 9: 1 t/m 6 + 19 t/m 26 (NBV21)</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Zingen: Lied OLB 37: 1,2 (naar Jeremia 29)</w:t>
            </w:r>
          </w:p>
        </w:tc>
        <w:tc>
          <w:tcPr/>
          <w:p w:rsidR="00000000" w:rsidDel="00000000" w:rsidP="00000000" w:rsidRDefault="00000000" w:rsidRPr="00000000" w14:paraId="0000002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Door een lector</w:t>
            </w:r>
          </w:p>
        </w:tc>
      </w:tr>
      <w:tr>
        <w:trPr>
          <w:cantSplit w:val="0"/>
          <w:tblHeader w:val="0"/>
        </w:trPr>
        <w:tc>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Prediking</w:t>
            </w:r>
            <w:r w:rsidDel="00000000" w:rsidR="00000000" w:rsidRPr="00000000">
              <w:rPr>
                <w:rtl w:val="0"/>
              </w:rPr>
            </w:r>
          </w:p>
        </w:tc>
        <w:tc>
          <w:tcPr/>
          <w:p w:rsidR="00000000" w:rsidDel="00000000" w:rsidP="00000000" w:rsidRDefault="00000000" w:rsidRPr="00000000" w14:paraId="0000002E">
            <w:pPr>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Meditatief orgelspel</w:t>
            </w:r>
            <w:r w:rsidDel="00000000" w:rsidR="00000000" w:rsidRPr="00000000">
              <w:rPr>
                <w:rtl w:val="0"/>
              </w:rPr>
            </w:r>
          </w:p>
        </w:tc>
        <w:tc>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Lied NLB 608: 1,2</w:t>
            </w:r>
            <w:r w:rsidDel="00000000" w:rsidR="00000000" w:rsidRPr="00000000">
              <w:rPr>
                <w:rtl w:val="0"/>
              </w:rPr>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sz w:val="20"/>
                <w:szCs w:val="20"/>
                <w:u w:val="single"/>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Gebeden en gaven</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Dankgebed, voorbeden, stil gebed - gezamenlijk Onze Vader</w:t>
            </w: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i w:val="1"/>
                <w:sz w:val="20"/>
                <w:szCs w:val="20"/>
              </w:rPr>
            </w:pPr>
            <w:r w:rsidDel="00000000" w:rsidR="00000000" w:rsidRPr="00000000">
              <w:rPr>
                <w:rFonts w:ascii="Arial" w:cs="Arial" w:eastAsia="Arial" w:hAnsi="Arial"/>
                <w:i w:val="1"/>
                <w:sz w:val="20"/>
                <w:szCs w:val="20"/>
                <w:rtl w:val="0"/>
              </w:rPr>
              <w:t xml:space="preserve">Het </w:t>
            </w:r>
            <w:r w:rsidDel="00000000" w:rsidR="00000000" w:rsidRPr="00000000">
              <w:rPr>
                <w:rFonts w:ascii="Arial" w:cs="Arial" w:eastAsia="Arial" w:hAnsi="Arial"/>
                <w:b w:val="1"/>
                <w:i w:val="1"/>
                <w:sz w:val="20"/>
                <w:szCs w:val="20"/>
                <w:rtl w:val="0"/>
              </w:rPr>
              <w:t xml:space="preserve">gebedenboek</w:t>
            </w:r>
            <w:r w:rsidDel="00000000" w:rsidR="00000000" w:rsidRPr="00000000">
              <w:rPr>
                <w:rFonts w:ascii="Arial" w:cs="Arial" w:eastAsia="Arial" w:hAnsi="Arial"/>
                <w:i w:val="1"/>
                <w:sz w:val="20"/>
                <w:szCs w:val="20"/>
                <w:rtl w:val="0"/>
              </w:rPr>
              <w:t xml:space="preserve"> ligt op de tafel, daarin kunnen gebedsintenties staan.</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Indien van toepassing leest de predikant voorafgaande aan het gebed een </w:t>
            </w:r>
            <w:r w:rsidDel="00000000" w:rsidR="00000000" w:rsidRPr="00000000">
              <w:rPr>
                <w:rFonts w:ascii="Arial" w:cs="Arial" w:eastAsia="Arial" w:hAnsi="Arial"/>
                <w:b w:val="1"/>
                <w:i w:val="1"/>
                <w:sz w:val="20"/>
                <w:szCs w:val="20"/>
                <w:rtl w:val="0"/>
              </w:rPr>
              <w:t xml:space="preserve">geboorte- en / of overlijdensbericht</w:t>
            </w:r>
            <w:r w:rsidDel="00000000" w:rsidR="00000000" w:rsidRPr="00000000">
              <w:rPr>
                <w:rFonts w:ascii="Arial" w:cs="Arial" w:eastAsia="Arial" w:hAnsi="Arial"/>
                <w:i w:val="1"/>
                <w:sz w:val="20"/>
                <w:szCs w:val="20"/>
                <w:rtl w:val="0"/>
              </w:rPr>
              <w:t xml:space="preserve"> voor. Bij een overlijdensbericht verzoekt de predikant de gemeente te gaan staan.</w:t>
            </w:r>
          </w:p>
          <w:p w:rsidR="00000000" w:rsidDel="00000000" w:rsidP="00000000" w:rsidRDefault="00000000" w:rsidRPr="00000000" w14:paraId="0000003C">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Tijdens het neerleggen van een gedenksteen met de naam van de overledene op de gedenktafel (achter in de kerk) zingt de gemeente een lied (bijvoorbeeld 961: ‘Niemand leeft voor zichzelf’).</w:t>
            </w:r>
          </w:p>
        </w:tc>
      </w:tr>
      <w:tr>
        <w:trPr>
          <w:cantSplit w:val="0"/>
          <w:tblHeader w:val="0"/>
        </w:trPr>
        <w:tc>
          <w:tcPr/>
          <w:p w:rsidR="00000000" w:rsidDel="00000000" w:rsidP="00000000" w:rsidRDefault="00000000" w:rsidRPr="00000000" w14:paraId="0000003E">
            <w:pPr>
              <w:rPr>
                <w:rFonts w:ascii="Arial" w:cs="Arial" w:eastAsia="Arial" w:hAnsi="Arial"/>
                <w:sz w:val="20"/>
                <w:szCs w:val="20"/>
                <w:u w:val="single"/>
              </w:rPr>
            </w:pPr>
            <w:r w:rsidDel="00000000" w:rsidR="00000000" w:rsidRPr="00000000">
              <w:rPr>
                <w:rtl w:val="0"/>
              </w:rPr>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Moment om gaven te delen</w:t>
            </w: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i w:val="1"/>
                <w:sz w:val="20"/>
                <w:szCs w:val="20"/>
              </w:rPr>
            </w:pPr>
            <w:r w:rsidDel="00000000" w:rsidR="00000000" w:rsidRPr="00000000">
              <w:rPr>
                <w:rFonts w:ascii="Arial" w:cs="Arial" w:eastAsia="Arial" w:hAnsi="Arial"/>
                <w:i w:val="1"/>
                <w:sz w:val="20"/>
                <w:szCs w:val="20"/>
                <w:rtl w:val="0"/>
              </w:rPr>
              <w:t xml:space="preserve">Informatie via de beamer over inzameling van gaven die na de dienst bij de uitgangsdeur plaatsvindt, ook kan er tijdens dit moment online gedoneerd worden. De diaken van dienst zal de gaven mondeling toelichten.</w:t>
            </w: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Slotlied NLB 482  </w:t>
            </w:r>
            <w:r w:rsidDel="00000000" w:rsidR="00000000" w:rsidRPr="00000000">
              <w:rPr>
                <w:rFonts w:ascii="Arial" w:cs="Arial" w:eastAsia="Arial" w:hAnsi="Arial"/>
                <w:i w:val="1"/>
                <w:sz w:val="20"/>
                <w:szCs w:val="20"/>
                <w:rtl w:val="0"/>
              </w:rPr>
              <w:t xml:space="preserve">(staande)</w:t>
            </w: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c>
          <w:tcPr/>
          <w:p w:rsidR="00000000" w:rsidDel="00000000" w:rsidP="00000000" w:rsidRDefault="00000000" w:rsidRPr="00000000" w14:paraId="0000004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Kinderen en tieners komen weer naar boven.</w:t>
            </w:r>
          </w:p>
        </w:tc>
      </w:tr>
      <w:tr>
        <w:trPr>
          <w:cantSplit w:val="0"/>
          <w:tblHeader w:val="0"/>
        </w:trPr>
        <w:tc>
          <w:tcPr/>
          <w:p w:rsidR="00000000" w:rsidDel="00000000" w:rsidP="00000000" w:rsidRDefault="00000000" w:rsidRPr="00000000" w14:paraId="00000045">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Zegen - de gemeente antwoordt met het zingen van NLB 416: 1.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i w:val="1"/>
                <w:sz w:val="20"/>
                <w:szCs w:val="20"/>
              </w:rPr>
            </w:pPr>
            <w:r w:rsidDel="00000000" w:rsidR="00000000" w:rsidRPr="00000000">
              <w:rPr>
                <w:rtl w:val="0"/>
              </w:rPr>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004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Bij het verlaten van de kerkzaal is er nu geen gelegenheid om elkaar de hand te schudden. Bij goed weer is er koffie buiten. De dienst is live en daarna te volgen via </w:t>
            </w:r>
            <w:hyperlink r:id="rId9">
              <w:r w:rsidDel="00000000" w:rsidR="00000000" w:rsidRPr="00000000">
                <w:rPr>
                  <w:rFonts w:ascii="Arial" w:cs="Arial" w:eastAsia="Arial" w:hAnsi="Arial"/>
                  <w:i w:val="1"/>
                  <w:color w:val="000000"/>
                  <w:sz w:val="20"/>
                  <w:szCs w:val="20"/>
                  <w:u w:val="single"/>
                  <w:rtl w:val="0"/>
                </w:rPr>
                <w:t xml:space="preserve">www.kerkomroep.nl</w:t>
              </w:r>
            </w:hyperlink>
            <w:r w:rsidDel="00000000" w:rsidR="00000000" w:rsidRPr="00000000">
              <w:rPr>
                <w:rFonts w:ascii="Arial" w:cs="Arial" w:eastAsia="Arial" w:hAnsi="Arial"/>
                <w:i w:val="1"/>
                <w:sz w:val="20"/>
                <w:szCs w:val="20"/>
                <w:rtl w:val="0"/>
              </w:rPr>
              <w:t xml:space="preserve"> </w:t>
            </w:r>
          </w:p>
        </w:tc>
      </w:tr>
    </w:tbl>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pict>
          <v:shape id="_x0000_i1025" style="width:174pt;height:242.25pt" alt="Stream Daniel bidt elke dag by ABC van het geloof | Listen online for ..." type="#_x0000_t75">
            <v:imagedata cropleft="10750f" cropright="13623f" croptop="8372f" r:href="rId2" r:id="rId1"/>
          </v:shape>
        </w:pic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https://i1.sndcdn.com/artworks-000652815088-3cny82-t500x500.jpg"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rkomroep.nl"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